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053322" w:rsidRDefault="00053322">
      <w:pPr>
        <w:rPr>
          <w:b/>
        </w:rPr>
      </w:pPr>
      <w:r w:rsidRPr="00053322">
        <w:rPr>
          <w:b/>
          <w:lang w:val="mk-MK"/>
        </w:rPr>
        <w:t>Барање бр.2962/1</w:t>
      </w:r>
      <w:r w:rsidRPr="00053322">
        <w:rPr>
          <w:b/>
        </w:rPr>
        <w:t xml:space="preserve">: </w:t>
      </w:r>
      <w:r w:rsidRPr="00053322">
        <w:rPr>
          <w:b/>
          <w:lang w:val="mk-MK"/>
        </w:rPr>
        <w:t>Екс-пост анализи за следните национални стратегии</w:t>
      </w:r>
      <w:r w:rsidRPr="00053322">
        <w:rPr>
          <w:b/>
        </w:rPr>
        <w:t xml:space="preserve">: </w:t>
      </w:r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r>
        <w:rPr>
          <w:lang w:val="mk-MK"/>
        </w:rPr>
        <w:t>Стратегија за Ромите во Република Македонија 2014-2020</w:t>
      </w:r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r>
        <w:rPr>
          <w:lang w:val="ru-RU"/>
        </w:rPr>
        <w:t>Национална стратегија за еднаквост и недискриминација 2016-2020</w:t>
      </w:r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Стратегија за родова </w:t>
      </w:r>
      <w:proofErr w:type="spellStart"/>
      <w:r>
        <w:rPr>
          <w:lang w:val="mk-MK"/>
        </w:rPr>
        <w:t>едн</w:t>
      </w:r>
      <w:proofErr w:type="spellEnd"/>
      <w:r>
        <w:t>a</w:t>
      </w:r>
      <w:proofErr w:type="spellStart"/>
      <w:r>
        <w:rPr>
          <w:lang w:val="mk-MK"/>
        </w:rPr>
        <w:t>квост</w:t>
      </w:r>
      <w:proofErr w:type="spellEnd"/>
      <w:r>
        <w:rPr>
          <w:lang w:val="mk-MK"/>
        </w:rPr>
        <w:t xml:space="preserve"> 2013-2020</w:t>
      </w:r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ru-RU"/>
        </w:rPr>
      </w:pPr>
      <w:hyperlink r:id="rId5" w:history="1">
        <w:r>
          <w:rPr>
            <w:rStyle w:val="Hyperlink"/>
            <w:color w:val="auto"/>
            <w:u w:val="none"/>
            <w:lang w:val="ru-RU"/>
          </w:rPr>
          <w:t>Национална стратегија за деинституционализација во Република Македонија 2018–2027 „Тимјаник“</w:t>
        </w:r>
      </w:hyperlink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hyperlink r:id="rId6" w:history="1">
        <w:r>
          <w:rPr>
            <w:rStyle w:val="Hyperlink"/>
            <w:color w:val="auto"/>
            <w:u w:val="none"/>
            <w:lang w:val="ru-RU"/>
          </w:rPr>
          <w:t>ЕСРП 2020 - Програма за реформи во вработувањето и социјалната политика</w:t>
        </w:r>
      </w:hyperlink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hyperlink r:id="rId7" w:history="1">
        <w:r>
          <w:rPr>
            <w:rStyle w:val="Hyperlink"/>
            <w:color w:val="auto"/>
            <w:u w:val="none"/>
            <w:lang w:val="mk-MK"/>
          </w:rPr>
          <w:t>Национална стратегија (2020-2025) и Акциски план (2020-2022) за превенција и заштита на децата од насилство </w:t>
        </w:r>
      </w:hyperlink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hyperlink r:id="rId8" w:history="1">
        <w:r>
          <w:rPr>
            <w:rStyle w:val="Hyperlink"/>
            <w:color w:val="auto"/>
            <w:u w:val="none"/>
            <w:lang w:val="mk-MK"/>
          </w:rPr>
          <w:t>Програма за развој на социјалната заштита 2011-2021</w:t>
        </w:r>
      </w:hyperlink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r>
        <w:rPr>
          <w:lang w:val="mk-MK"/>
        </w:rPr>
        <w:t>Национална стратегија за стари лица 2010-2020</w:t>
      </w:r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hyperlink r:id="rId9" w:history="1">
        <w:r>
          <w:rPr>
            <w:rStyle w:val="Hyperlink"/>
            <w:color w:val="auto"/>
            <w:u w:val="none"/>
            <w:lang w:val="mk-MK"/>
          </w:rPr>
          <w:t>Национална стратегија за намалување на сиромаштијата и социјалната исклученост 2010-2020</w:t>
        </w:r>
      </w:hyperlink>
    </w:p>
    <w:p w:rsid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hyperlink r:id="rId10" w:history="1">
        <w:r>
          <w:rPr>
            <w:rStyle w:val="Hyperlink"/>
            <w:color w:val="auto"/>
            <w:u w:val="none"/>
            <w:lang w:val="mk-MK"/>
          </w:rPr>
          <w:t>Стратегија за формализирање на неформалната економија  во Република Македонија 2018-2022</w:t>
        </w:r>
      </w:hyperlink>
    </w:p>
    <w:p w:rsidR="00053322" w:rsidRPr="00053322" w:rsidRDefault="00053322" w:rsidP="00053322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  <w:hyperlink r:id="rId11" w:history="1">
        <w:r>
          <w:rPr>
            <w:rStyle w:val="Hyperlink"/>
            <w:color w:val="auto"/>
            <w:u w:val="none"/>
            <w:lang w:val="mk-MK"/>
          </w:rPr>
          <w:t>Национална стратегија за вработување на Република Македонија 2016-2020</w:t>
        </w:r>
      </w:hyperlink>
      <w:r>
        <w:rPr>
          <w:b/>
          <w:bCs/>
        </w:rPr>
        <w:t>.</w:t>
      </w:r>
    </w:p>
    <w:p w:rsidR="00053322" w:rsidRDefault="00053322" w:rsidP="00053322">
      <w:pPr>
        <w:autoSpaceDE w:val="0"/>
        <w:autoSpaceDN w:val="0"/>
        <w:snapToGrid w:val="0"/>
        <w:spacing w:after="0" w:line="240" w:lineRule="auto"/>
        <w:jc w:val="both"/>
        <w:rPr>
          <w:lang w:val="mk-MK"/>
        </w:rPr>
      </w:pPr>
    </w:p>
    <w:p w:rsidR="00053322" w:rsidRPr="00053322" w:rsidRDefault="00053322" w:rsidP="00053322">
      <w:pPr>
        <w:autoSpaceDE w:val="0"/>
        <w:autoSpaceDN w:val="0"/>
        <w:snapToGrid w:val="0"/>
        <w:spacing w:after="0" w:line="240" w:lineRule="auto"/>
        <w:jc w:val="both"/>
      </w:pPr>
      <w:r>
        <w:rPr>
          <w:lang w:val="mk-MK"/>
        </w:rPr>
        <w:t>Одговор</w:t>
      </w:r>
      <w:r>
        <w:t xml:space="preserve">: </w:t>
      </w:r>
    </w:p>
    <w:p w:rsidR="00053322" w:rsidRDefault="00053322" w:rsidP="00053322">
      <w:pPr>
        <w:rPr>
          <w:rFonts w:ascii="Calibri" w:hAnsi="Calibri" w:cs="Calibri"/>
        </w:rPr>
      </w:pPr>
    </w:p>
    <w:p w:rsidR="001309E8" w:rsidRDefault="001309E8">
      <w:pPr>
        <w:rPr>
          <w:noProof/>
        </w:rPr>
      </w:pPr>
    </w:p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4694">
      <w:r>
        <w:rPr>
          <w:noProof/>
        </w:rPr>
        <w:lastRenderedPageBreak/>
        <w:drawing>
          <wp:inline distT="0" distB="0" distL="0" distR="0" wp14:anchorId="14846D82" wp14:editId="3769DABC">
            <wp:extent cx="6688707" cy="6124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95" cy="619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053322" w:rsidRDefault="001309E8">
      <w:bookmarkStart w:id="0" w:name="_GoBack"/>
      <w:r>
        <w:rPr>
          <w:noProof/>
        </w:rPr>
        <w:drawing>
          <wp:inline distT="0" distB="0" distL="0" distR="0">
            <wp:extent cx="5943600" cy="3977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Default="001309E8"/>
    <w:p w:rsidR="001309E8" w:rsidRPr="00053322" w:rsidRDefault="001309E8"/>
    <w:sectPr w:rsidR="001309E8" w:rsidRPr="0005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70FE3"/>
    <w:multiLevelType w:val="hybridMultilevel"/>
    <w:tmpl w:val="55505AF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22"/>
    <w:rsid w:val="00053322"/>
    <w:rsid w:val="001309E8"/>
    <w:rsid w:val="00134694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2405"/>
  <w15:chartTrackingRefBased/>
  <w15:docId w15:val="{7952BA86-48D2-43AF-B9A6-7E89DC8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33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p.gov.mk/WBStorage/Files/Programa.doc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tsp.gov.mk/content/word/debatatomsik/prazen/%D0%A1%D1%82%D1%80%D0%B0%D1%82%D0%B5%D0%B3%D0%B8%D1%98%D0%B0%20%D0%B7%D0%B0%20%D0%B7%D0%B0%D1%88%D1%82%D0%B8%D1%82%D0%B0%20%D0%BD%D0%B0%20%D0%B4%D0%B5%D1%86%D0%B0%20%D0%BE%D0%B4%20%D1%81%D0%B8%D1%82%D0%B5%20%D1%84%D0%BE%D1%80%D0%BC%D0%B8%20%D0%BD%D0%B0%20%D0%BD%D0%B0%D1%81%D0%B8%D0%BB%D1%81%D1%82%D0%B2%D0%BE%202020-2025%20%D1%81%D0%BE%20%D0%90%D0%BA%D1%86%D0%B8%D1%81%D0%BA%D0%B8%20%D0%BF%D0%BB%D0%B0%D0%BD%20%D0%B7%D0%B0%2020120-2022.doc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sp.gov.mk/content/word/esrp_dokumenti/ESRP%20Makedonija%20-%20final%20(MKD).pdf" TargetMode="External"/><Relationship Id="rId11" Type="http://schemas.openxmlformats.org/officeDocument/2006/relationships/hyperlink" Target="http://www.mtsp.gov.mk/content/pdf/strategii/Nacionalna%20Strategija%20za%20Vrabotuvane%20na%20Republika%20Makedonija%20za%20Vlada%2016102015.pdf" TargetMode="External"/><Relationship Id="rId5" Type="http://schemas.openxmlformats.org/officeDocument/2006/relationships/hyperlink" Target="http://www.mtsp.gov.mk/content/pdf/strategii/Strategii%202018/Strategija_deinstitucionalizacija_Timjanik_2018-2027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tsp.gov.mk/content/word/dokumenti/dokumenti%202018/%D0%A1%D1%82%D1%80%D0%B0%D1%82%D0%B5%D0%B3%D0%B8%D1%98%D0%B0%20%D0%B7%D0%B0%20%D1%84%D0%BE%D1%80%D0%BC%D0%B0%D0%BB%D0%B8%D0%B7%D0%B8%D1%80%D0%B0%D1%9A%D0%B5%20%D0%BD%D0%B0%20%D0%BD%D0%B5%D1%84%D0%BE%D1%80%D0%BC%D0%B0%D0%BB%D0%BD%D0%B0%D1%82%D0%B0%20%D0%B5%D0%BA%D0%BE%D0%BD%D0%BE%D0%BC%D0%B8%D1%98%D0%B0%20%20%D0%B2%D0%BE%20%D0%A0%D0%B5%D0%BF%D1%83%D0%B1%D0%BB%D0%B8%D0%BA%D0%B0%20%D0%9C%D0%B0%D0%BA%D0%B5%D0%B4%D0%BE%D0%BD%D0%B8%D1%98%D0%B02018-202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tsp.gov.mk/WBStorage/Files/SocialExclusion%20Starategy%20MK%20final%20word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2023-04-28T08:41:00Z</dcterms:created>
  <dcterms:modified xsi:type="dcterms:W3CDTF">2023-04-28T08:52:00Z</dcterms:modified>
</cp:coreProperties>
</file>